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ED1702">
        <w:rPr>
          <w:rFonts w:ascii="Calibri" w:eastAsia="Calibri" w:hAnsi="Calibri" w:cs="Arial"/>
          <w:b/>
          <w:sz w:val="28"/>
          <w:szCs w:val="28"/>
          <w:lang w:eastAsia="en-US"/>
        </w:rPr>
        <w:t>pro část 1</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ED1702" w:rsidRDefault="00ED1702" w:rsidP="00F42F2C">
      <w:pPr>
        <w:shd w:val="clear" w:color="auto" w:fill="FFD966" w:themeFill="accent4" w:themeFillTint="99"/>
        <w:jc w:val="both"/>
        <w:rPr>
          <w:rFonts w:ascii="Calibri" w:hAnsi="Calibri" w:cs="Arial"/>
          <w:b/>
          <w:bCs/>
          <w:sz w:val="32"/>
          <w:szCs w:val="32"/>
        </w:rPr>
      </w:pPr>
      <w:r w:rsidRPr="00ED1702">
        <w:rPr>
          <w:rFonts w:ascii="Calibri" w:hAnsi="Calibri" w:cs="Arial"/>
          <w:b/>
          <w:bCs/>
          <w:sz w:val="32"/>
          <w:szCs w:val="32"/>
        </w:rPr>
        <w:t>Laboratorní přístrojové vybavení 3</w:t>
      </w:r>
    </w:p>
    <w:p w:rsidR="00393D63" w:rsidRDefault="00393D63" w:rsidP="002B39F1">
      <w:pPr>
        <w:jc w:val="both"/>
        <w:rPr>
          <w:rFonts w:asciiTheme="minorHAnsi" w:hAnsiTheme="minorHAnsi" w:cs="Arial"/>
          <w:b/>
          <w:bCs/>
          <w:sz w:val="24"/>
        </w:rPr>
      </w:pPr>
    </w:p>
    <w:p w:rsidR="00ED1702" w:rsidRDefault="00ED1702"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021BB5">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rsidR="00BE2F18" w:rsidRPr="00BE2F18" w:rsidRDefault="0071003C" w:rsidP="00BE2F18">
      <w:pPr>
        <w:pStyle w:val="Nadpis3"/>
        <w:shd w:val="clear" w:color="auto" w:fill="C5E0B3" w:themeFill="accent6" w:themeFillTint="66"/>
        <w:rPr>
          <w:rFonts w:asciiTheme="minorHAnsi" w:hAnsiTheme="minorHAnsi" w:cs="Arial"/>
          <w:bCs/>
        </w:rPr>
      </w:pPr>
      <w:r>
        <w:rPr>
          <w:rFonts w:cs="Calibri"/>
          <w:bCs/>
        </w:rPr>
        <w:t>Analyzátor inhibičních zón</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ED1702" w:rsidP="00F42F2C">
      <w:pPr>
        <w:jc w:val="both"/>
        <w:rPr>
          <w:rFonts w:ascii="Calibri" w:hAnsi="Calibr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ED170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2459C1" w:rsidRDefault="0071003C"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Analyzátor inhibičních zón</w:t>
            </w:r>
            <w:r w:rsidR="008458DA">
              <w:rPr>
                <w:rFonts w:asciiTheme="minorHAnsi" w:hAnsiTheme="minorHAnsi" w:cs="Arial"/>
                <w:b/>
                <w:sz w:val="28"/>
                <w:szCs w:val="28"/>
              </w:rPr>
              <w:t xml:space="preserve"> </w:t>
            </w:r>
            <w:r w:rsidR="002459C1">
              <w:rPr>
                <w:rFonts w:asciiTheme="minorHAnsi" w:hAnsiTheme="minorHAnsi" w:cs="Arial"/>
                <w:b/>
                <w:sz w:val="28"/>
                <w:szCs w:val="28"/>
              </w:rPr>
              <w:t xml:space="preserve">- </w:t>
            </w:r>
            <w:r w:rsidR="00021BB5">
              <w:rPr>
                <w:rFonts w:asciiTheme="minorHAnsi" w:hAnsiTheme="minorHAnsi" w:cs="Arial"/>
                <w:b/>
                <w:sz w:val="28"/>
                <w:szCs w:val="28"/>
              </w:rPr>
              <w:t>2</w:t>
            </w:r>
            <w:r w:rsidR="008458DA">
              <w:rPr>
                <w:rFonts w:asciiTheme="minorHAnsi" w:hAnsiTheme="minorHAnsi" w:cs="Arial"/>
                <w:b/>
                <w:sz w:val="28"/>
                <w:szCs w:val="28"/>
              </w:rPr>
              <w:t xml:space="preserve"> ks </w:t>
            </w:r>
          </w:p>
          <w:p w:rsidR="00600F8C" w:rsidRPr="00393D63" w:rsidRDefault="002459C1" w:rsidP="00600F8C">
            <w:pPr>
              <w:autoSpaceDE w:val="0"/>
              <w:autoSpaceDN w:val="0"/>
              <w:adjustRightInd w:val="0"/>
              <w:rPr>
                <w:rFonts w:asciiTheme="minorHAnsi" w:hAnsiTheme="minorHAnsi"/>
                <w:b/>
                <w:bCs/>
                <w:sz w:val="28"/>
                <w:szCs w:val="28"/>
              </w:rPr>
            </w:pPr>
            <w:r w:rsidRPr="002459C1">
              <w:rPr>
                <w:rFonts w:asciiTheme="minorHAnsi" w:hAnsiTheme="minorHAnsi" w:cs="Arial"/>
                <w:b/>
                <w:sz w:val="24"/>
              </w:rPr>
              <w:t>(o</w:t>
            </w:r>
            <w:r w:rsidR="008458DA" w:rsidRPr="002459C1">
              <w:rPr>
                <w:rFonts w:asciiTheme="minorHAnsi" w:hAnsiTheme="minorHAnsi" w:cs="Arial"/>
                <w:b/>
                <w:sz w:val="24"/>
              </w:rPr>
              <w:t>dd. klinické mikrobiologie Litomyšl)</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Analyzátor inhibičních zón vč. dopravy, instalace a zaškolení</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Modul pro analýzu antibiogramů</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SW pro fotodokumentaci</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Bakteriologický expertní systém</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Epidemiologický expertní systém</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rPr>
          <w:trHeight w:val="677"/>
        </w:trPr>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 xml:space="preserve">PACS </w:t>
            </w:r>
            <w:proofErr w:type="spellStart"/>
            <w:r w:rsidRPr="00C736D2">
              <w:rPr>
                <w:rFonts w:asciiTheme="minorHAnsi" w:hAnsiTheme="minorHAnsi"/>
                <w:sz w:val="24"/>
              </w:rPr>
              <w:t>Middleware</w:t>
            </w:r>
            <w:proofErr w:type="spellEnd"/>
            <w:r w:rsidRPr="00C736D2">
              <w:rPr>
                <w:rFonts w:asciiTheme="minorHAnsi" w:hAnsiTheme="minorHAnsi"/>
                <w:sz w:val="24"/>
              </w:rPr>
              <w:t xml:space="preserve"> pro </w:t>
            </w:r>
            <w:proofErr w:type="spellStart"/>
            <w:r w:rsidRPr="00C736D2">
              <w:rPr>
                <w:rFonts w:asciiTheme="minorHAnsi" w:hAnsiTheme="minorHAnsi"/>
                <w:sz w:val="24"/>
              </w:rPr>
              <w:t>Maldi</w:t>
            </w:r>
            <w:proofErr w:type="spellEnd"/>
            <w:r w:rsidRPr="00C736D2">
              <w:rPr>
                <w:rFonts w:asciiTheme="minorHAnsi" w:hAnsiTheme="minorHAnsi"/>
                <w:sz w:val="24"/>
              </w:rPr>
              <w:t>-TOF</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t>Integrovaná čtečka kódů</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C10A7D" w:rsidTr="002459C1">
        <w:tc>
          <w:tcPr>
            <w:tcW w:w="4536" w:type="dxa"/>
            <w:vAlign w:val="center"/>
          </w:tcPr>
          <w:p w:rsidR="0071003C" w:rsidRPr="00C736D2" w:rsidRDefault="0071003C" w:rsidP="0071003C">
            <w:pPr>
              <w:rPr>
                <w:rFonts w:asciiTheme="minorHAnsi" w:hAnsiTheme="minorHAnsi"/>
                <w:sz w:val="24"/>
              </w:rPr>
            </w:pPr>
            <w:r w:rsidRPr="00C736D2">
              <w:rPr>
                <w:rFonts w:asciiTheme="minorHAnsi" w:hAnsiTheme="minorHAnsi"/>
                <w:sz w:val="24"/>
              </w:rPr>
              <w:lastRenderedPageBreak/>
              <w:t xml:space="preserve">PC s příslušenstvím součástí dodávky </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2476E6" w:rsidTr="002459C1">
        <w:tc>
          <w:tcPr>
            <w:tcW w:w="4536" w:type="dxa"/>
            <w:vAlign w:val="center"/>
          </w:tcPr>
          <w:p w:rsidR="0071003C" w:rsidRPr="0071003C" w:rsidRDefault="0071003C" w:rsidP="0071003C">
            <w:pPr>
              <w:rPr>
                <w:rFonts w:asciiTheme="minorHAnsi" w:hAnsiTheme="minorHAnsi"/>
                <w:sz w:val="24"/>
              </w:rPr>
            </w:pPr>
            <w:r w:rsidRPr="0071003C">
              <w:rPr>
                <w:rFonts w:asciiTheme="minorHAnsi" w:hAnsiTheme="minorHAnsi"/>
                <w:sz w:val="24"/>
              </w:rPr>
              <w:t>Operační systém – Microsoft Windows 10 Professional CZ 64 (nutné správné uvedení licence na faktuře)</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71003C" w:rsidRPr="002476E6" w:rsidTr="002459C1">
        <w:tc>
          <w:tcPr>
            <w:tcW w:w="4536" w:type="dxa"/>
            <w:vAlign w:val="center"/>
          </w:tcPr>
          <w:p w:rsidR="0071003C" w:rsidRPr="0071003C" w:rsidRDefault="0071003C" w:rsidP="0071003C">
            <w:pPr>
              <w:rPr>
                <w:rFonts w:asciiTheme="minorHAnsi" w:hAnsiTheme="minorHAnsi"/>
                <w:sz w:val="24"/>
              </w:rPr>
            </w:pPr>
            <w:r w:rsidRPr="0071003C">
              <w:rPr>
                <w:rFonts w:asciiTheme="minorHAnsi" w:hAnsiTheme="minorHAnsi"/>
                <w:sz w:val="24"/>
              </w:rPr>
              <w:t>Napojení do LIS/</w:t>
            </w:r>
            <w:proofErr w:type="gramStart"/>
            <w:r w:rsidRPr="0071003C">
              <w:rPr>
                <w:rFonts w:asciiTheme="minorHAnsi" w:hAnsiTheme="minorHAnsi"/>
                <w:sz w:val="24"/>
              </w:rPr>
              <w:t>NIS  součástí</w:t>
            </w:r>
            <w:proofErr w:type="gramEnd"/>
            <w:r w:rsidRPr="0071003C">
              <w:rPr>
                <w:rFonts w:asciiTheme="minorHAnsi" w:hAnsiTheme="minorHAnsi"/>
                <w:sz w:val="24"/>
              </w:rPr>
              <w:t xml:space="preserve"> nabídky</w:t>
            </w:r>
          </w:p>
        </w:tc>
        <w:tc>
          <w:tcPr>
            <w:tcW w:w="1276"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71003C" w:rsidRPr="002476E6" w:rsidRDefault="0071003C" w:rsidP="0071003C">
            <w:pPr>
              <w:jc w:val="center"/>
              <w:rPr>
                <w:rFonts w:ascii="Calibri" w:hAnsi="Calibri" w:cs="Calibri"/>
                <w:color w:val="FF0000"/>
                <w:szCs w:val="20"/>
              </w:rPr>
            </w:pPr>
            <w:r w:rsidRPr="002476E6">
              <w:rPr>
                <w:rFonts w:ascii="Calibri" w:hAnsi="Calibri" w:cs="Calibri"/>
                <w:color w:val="FF0000"/>
                <w:szCs w:val="20"/>
              </w:rPr>
              <w:t>(doplní dodavatel)</w:t>
            </w:r>
          </w:p>
        </w:tc>
      </w:tr>
      <w:tr w:rsidR="00021BB5" w:rsidRPr="002476E6" w:rsidTr="002459C1">
        <w:trPr>
          <w:trHeight w:val="652"/>
        </w:trPr>
        <w:tc>
          <w:tcPr>
            <w:tcW w:w="4536" w:type="dxa"/>
            <w:vAlign w:val="center"/>
          </w:tcPr>
          <w:p w:rsidR="00021BB5" w:rsidRPr="0071003C" w:rsidRDefault="00021BB5" w:rsidP="00021BB5">
            <w:pPr>
              <w:rPr>
                <w:rFonts w:asciiTheme="minorHAnsi" w:hAnsiTheme="minorHAnsi"/>
                <w:sz w:val="24"/>
              </w:rPr>
            </w:pPr>
            <w:r w:rsidRPr="00021BB5">
              <w:rPr>
                <w:rFonts w:asciiTheme="minorHAnsi" w:hAnsiTheme="minorHAnsi"/>
                <w:sz w:val="24"/>
                <w:highlight w:val="yellow"/>
              </w:rPr>
              <w:t>Doprava vč. výnosu do 1. patra bez výtahu součástí nabídky</w:t>
            </w:r>
          </w:p>
        </w:tc>
        <w:tc>
          <w:tcPr>
            <w:tcW w:w="1276" w:type="dxa"/>
            <w:vAlign w:val="center"/>
          </w:tcPr>
          <w:p w:rsidR="00021BB5" w:rsidRPr="002476E6" w:rsidRDefault="00021BB5" w:rsidP="00021BB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021BB5" w:rsidRPr="002476E6" w:rsidRDefault="00021BB5" w:rsidP="00021BB5">
            <w:pPr>
              <w:jc w:val="center"/>
              <w:rPr>
                <w:rFonts w:ascii="Calibri" w:hAnsi="Calibri" w:cs="Calibri"/>
                <w:color w:val="FF0000"/>
                <w:szCs w:val="20"/>
              </w:rPr>
            </w:pPr>
            <w:r w:rsidRPr="002476E6">
              <w:rPr>
                <w:rFonts w:ascii="Calibri" w:hAnsi="Calibri" w:cs="Calibri"/>
                <w:color w:val="FF0000"/>
                <w:szCs w:val="20"/>
              </w:rPr>
              <w:t>(doplní dodavatel)</w:t>
            </w:r>
          </w:p>
        </w:tc>
      </w:tr>
    </w:tbl>
    <w:p w:rsidR="00BE2F18" w:rsidRPr="00BE2F18" w:rsidRDefault="00BE2F18" w:rsidP="00BE2F18">
      <w:pPr>
        <w:rPr>
          <w:lang w:eastAsia="en-US"/>
        </w:rPr>
      </w:pPr>
    </w:p>
    <w:p w:rsidR="00831B8A" w:rsidRDefault="00831B8A" w:rsidP="00831B8A">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BE2F18" w:rsidRDefault="00BE2F18" w:rsidP="00BE2F18">
      <w:pPr>
        <w:rPr>
          <w:lang w:eastAsia="en-US"/>
        </w:rPr>
      </w:pPr>
    </w:p>
    <w:p w:rsidR="00ED1702" w:rsidRDefault="00ED1702" w:rsidP="00BE2F18">
      <w:pPr>
        <w:rPr>
          <w:lang w:eastAsia="en-US"/>
        </w:rPr>
      </w:pPr>
    </w:p>
    <w:p w:rsidR="00ED1702" w:rsidRDefault="00ED1702" w:rsidP="00BE2F18">
      <w:pPr>
        <w:rPr>
          <w:lang w:eastAsia="en-US"/>
        </w:rPr>
      </w:pPr>
    </w:p>
    <w:p w:rsidR="00ED1702" w:rsidRDefault="00ED1702" w:rsidP="00BE2F18">
      <w:pPr>
        <w:rPr>
          <w:lang w:eastAsia="en-US"/>
        </w:rPr>
      </w:pPr>
    </w:p>
    <w:p w:rsidR="00ED1702" w:rsidRDefault="00ED1702" w:rsidP="00BE2F18">
      <w:pPr>
        <w:rPr>
          <w:lang w:eastAsia="en-US"/>
        </w:rPr>
      </w:pPr>
    </w:p>
    <w:p w:rsidR="00ED1702" w:rsidRDefault="00ED1702" w:rsidP="00ED1702">
      <w:pPr>
        <w:pStyle w:val="Nadpis5"/>
        <w:rPr>
          <w:bCs/>
          <w:lang w:eastAsia="en-US"/>
        </w:rPr>
      </w:pPr>
      <w:r>
        <w:rPr>
          <w:bCs/>
          <w:lang w:eastAsia="en-US"/>
        </w:rPr>
        <w:t xml:space="preserve">B) Požadavky, které budou součástí dodávky předmětu plnění </w:t>
      </w:r>
    </w:p>
    <w:p w:rsidR="00ED1702" w:rsidRDefault="00ED1702" w:rsidP="00ED1702">
      <w:pPr>
        <w:rPr>
          <w:lang w:eastAsia="en-US"/>
        </w:rPr>
      </w:pPr>
    </w:p>
    <w:p w:rsidR="00ED1702" w:rsidRDefault="00ED1702" w:rsidP="00ED1702">
      <w:pPr>
        <w:rPr>
          <w:lang w:eastAsia="en-US"/>
        </w:rPr>
      </w:pPr>
      <w:r>
        <w:rPr>
          <w:lang w:eastAsia="en-US"/>
        </w:rPr>
        <w:t>DODAVATEL MÁ POVINNOST VYPLNIT SPLNĚNÍ POŽADAVKU V TABULCE ANO/NE. SPNĚNÍ UVEDENÝCH POŽADAVKŮ POŽADUJE ZADAVATEL V RÁMCI DODÁVKY PŘEDMĚTU PLNĚNÍ.</w:t>
      </w:r>
    </w:p>
    <w:p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ED1702" w:rsidP="0065447C">
            <w:pPr>
              <w:pStyle w:val="Nadpis6"/>
              <w:suppressAutoHyphens w:val="0"/>
              <w:autoSpaceDE w:val="0"/>
              <w:autoSpaceDN w:val="0"/>
              <w:adjustRightInd w:val="0"/>
              <w:jc w:val="center"/>
              <w:outlineLvl w:val="5"/>
              <w:rPr>
                <w:rFonts w:eastAsia="Times New Roman" w:cs="Times New Roman"/>
                <w:lang w:eastAsia="cs-CZ"/>
              </w:rPr>
            </w:pPr>
            <w:r w:rsidRPr="00ED1702">
              <w:rPr>
                <w:rFonts w:eastAsia="Times New Roman" w:cs="Times New Roman"/>
                <w:lang w:eastAsia="cs-CZ"/>
              </w:rP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01D7B39"/>
    <w:multiLevelType w:val="hybridMultilevel"/>
    <w:tmpl w:val="3BFE0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0"/>
  </w:num>
  <w:num w:numId="4">
    <w:abstractNumId w:val="5"/>
  </w:num>
  <w:num w:numId="5">
    <w:abstractNumId w:val="2"/>
  </w:num>
  <w:num w:numId="6">
    <w:abstractNumId w:val="6"/>
  </w:num>
  <w:num w:numId="7">
    <w:abstractNumId w:val="6"/>
  </w:num>
  <w:num w:numId="8">
    <w:abstractNumId w:val="19"/>
  </w:num>
  <w:num w:numId="9">
    <w:abstractNumId w:val="1"/>
  </w:num>
  <w:num w:numId="10">
    <w:abstractNumId w:val="11"/>
  </w:num>
  <w:num w:numId="11">
    <w:abstractNumId w:val="10"/>
  </w:num>
  <w:num w:numId="12">
    <w:abstractNumId w:val="17"/>
  </w:num>
  <w:num w:numId="13">
    <w:abstractNumId w:val="3"/>
  </w:num>
  <w:num w:numId="14">
    <w:abstractNumId w:val="14"/>
  </w:num>
  <w:num w:numId="15">
    <w:abstractNumId w:val="16"/>
  </w:num>
  <w:num w:numId="16">
    <w:abstractNumId w:val="7"/>
  </w:num>
  <w:num w:numId="17">
    <w:abstractNumId w:val="8"/>
  </w:num>
  <w:num w:numId="18">
    <w:abstractNumId w:val="4"/>
  </w:num>
  <w:num w:numId="19">
    <w:abstractNumId w:val="12"/>
  </w:num>
  <w:num w:numId="20">
    <w:abstractNumId w:val="18"/>
  </w:num>
  <w:num w:numId="21">
    <w:abstractNumId w:val="13"/>
  </w:num>
  <w:num w:numId="2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21BB5"/>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C55CF"/>
    <w:rsid w:val="001D1372"/>
    <w:rsid w:val="001E427D"/>
    <w:rsid w:val="001F2952"/>
    <w:rsid w:val="00205EE2"/>
    <w:rsid w:val="00214C1D"/>
    <w:rsid w:val="002459C1"/>
    <w:rsid w:val="002476E6"/>
    <w:rsid w:val="00252F63"/>
    <w:rsid w:val="00280A80"/>
    <w:rsid w:val="002B39F1"/>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003C"/>
    <w:rsid w:val="0071402B"/>
    <w:rsid w:val="0071532A"/>
    <w:rsid w:val="00716461"/>
    <w:rsid w:val="007230A6"/>
    <w:rsid w:val="0073070F"/>
    <w:rsid w:val="007341AA"/>
    <w:rsid w:val="00734201"/>
    <w:rsid w:val="007416D4"/>
    <w:rsid w:val="00743AC9"/>
    <w:rsid w:val="00756D6D"/>
    <w:rsid w:val="00767CC9"/>
    <w:rsid w:val="00783B7D"/>
    <w:rsid w:val="007B6C29"/>
    <w:rsid w:val="007D1C73"/>
    <w:rsid w:val="007D591C"/>
    <w:rsid w:val="007E7126"/>
    <w:rsid w:val="007F694D"/>
    <w:rsid w:val="007F795F"/>
    <w:rsid w:val="0081061B"/>
    <w:rsid w:val="00814870"/>
    <w:rsid w:val="0081601A"/>
    <w:rsid w:val="00831B8A"/>
    <w:rsid w:val="00842F61"/>
    <w:rsid w:val="00843B0E"/>
    <w:rsid w:val="008458DA"/>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36484"/>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702"/>
    <w:rsid w:val="00ED1886"/>
    <w:rsid w:val="00EE1E0E"/>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8C2E8D"/>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1odst">
    <w:name w:val="1. odst."/>
    <w:basedOn w:val="Normln"/>
    <w:rsid w:val="008458DA"/>
    <w:pPr>
      <w:tabs>
        <w:tab w:val="num" w:pos="720"/>
      </w:tabs>
      <w:suppressAutoHyphens/>
      <w:spacing w:after="60"/>
      <w:ind w:left="720" w:hanging="720"/>
      <w:jc w:val="both"/>
    </w:pPr>
    <w:rPr>
      <w:rFonts w:ascii="Times New Roman" w:hAnsi="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194003550">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36783294">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A88CC-99A9-410C-814A-DEFB6609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466</Words>
  <Characters>2756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cp:revision>
  <dcterms:created xsi:type="dcterms:W3CDTF">2020-05-11T10:45:00Z</dcterms:created>
  <dcterms:modified xsi:type="dcterms:W3CDTF">2020-08-01T17:24:00Z</dcterms:modified>
</cp:coreProperties>
</file>